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0"/>
          <w:szCs w:val="20"/>
        </w:rPr>
      </w:pPr>
      <w:r/>
      <w:bookmarkStart w:id="0" w:name="_GoBack"/>
      <w:r/>
      <w:bookmarkEnd w:id="0"/>
      <w:r>
        <w:rPr>
          <w:sz w:val="20"/>
          <w:szCs w:val="20"/>
        </w:rPr>
        <w:t xml:space="preserve">ДОГОВОР ПОСТАВКИ №___________</w:t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г.Минс</w:t>
      </w:r>
      <w:r>
        <w:rPr>
          <w:sz w:val="20"/>
          <w:szCs w:val="20"/>
        </w:rPr>
        <w:t xml:space="preserve">к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«___»_______________ 20</w:t>
      </w:r>
      <w:r>
        <w:rPr>
          <w:sz w:val="20"/>
          <w:szCs w:val="20"/>
        </w:rPr>
        <w:t xml:space="preserve">2</w:t>
      </w:r>
      <w:r>
        <w:rPr>
          <w:sz w:val="20"/>
          <w:szCs w:val="20"/>
        </w:rPr>
        <w:t xml:space="preserve">3</w:t>
      </w:r>
      <w:r/>
    </w:p>
    <w:p>
      <w:pPr>
        <w:ind w:firstLine="180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ind w:right="-5" w:firstLine="5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СОАО «Коммунарка»,</w:t>
      </w:r>
      <w:r>
        <w:rPr>
          <w:sz w:val="20"/>
          <w:szCs w:val="20"/>
        </w:rPr>
        <w:t xml:space="preserve"> именуемое  в дальнейшем </w:t>
      </w:r>
      <w:r>
        <w:rPr>
          <w:b/>
          <w:sz w:val="20"/>
          <w:szCs w:val="20"/>
        </w:rPr>
        <w:t xml:space="preserve">«Поставщик»</w:t>
      </w:r>
      <w:r>
        <w:rPr>
          <w:sz w:val="20"/>
          <w:szCs w:val="20"/>
        </w:rPr>
        <w:t xml:space="preserve">, в лице</w:t>
      </w:r>
      <w:r>
        <w:rPr>
          <w:sz w:val="20"/>
          <w:szCs w:val="20"/>
        </w:rPr>
        <w:t xml:space="preserve"> ___________________________________________</w:t>
      </w:r>
      <w:r>
        <w:rPr>
          <w:sz w:val="20"/>
          <w:szCs w:val="20"/>
        </w:rPr>
        <w:t xml:space="preserve">, действующего на основании</w:t>
      </w:r>
      <w:r>
        <w:rPr>
          <w:sz w:val="20"/>
          <w:szCs w:val="20"/>
        </w:rPr>
        <w:t xml:space="preserve"> доверенности _________________________________</w:t>
      </w:r>
      <w:r>
        <w:rPr>
          <w:sz w:val="20"/>
          <w:szCs w:val="20"/>
        </w:rPr>
        <w:t xml:space="preserve">, с одной стороны, и</w:t>
      </w:r>
      <w:r>
        <w:rPr>
          <w:sz w:val="20"/>
          <w:szCs w:val="20"/>
        </w:rPr>
        <w:t xml:space="preserve"> __________________________________________________</w:t>
      </w:r>
      <w:r>
        <w:rPr>
          <w:b/>
          <w:sz w:val="20"/>
          <w:szCs w:val="20"/>
        </w:rPr>
        <w:t xml:space="preserve">,</w:t>
      </w:r>
      <w:r>
        <w:rPr>
          <w:sz w:val="20"/>
          <w:szCs w:val="20"/>
        </w:rPr>
        <w:t xml:space="preserve"> именуемое в дальнейшем </w:t>
      </w:r>
      <w:r>
        <w:rPr>
          <w:b/>
          <w:sz w:val="20"/>
          <w:szCs w:val="20"/>
        </w:rPr>
        <w:t xml:space="preserve">«Покупатель»,</w:t>
      </w:r>
      <w:r>
        <w:rPr>
          <w:sz w:val="20"/>
          <w:szCs w:val="20"/>
        </w:rPr>
        <w:t xml:space="preserve"> в лице ______________</w:t>
      </w:r>
      <w:r>
        <w:rPr>
          <w:sz w:val="20"/>
          <w:szCs w:val="20"/>
        </w:rPr>
        <w:t xml:space="preserve">________</w:t>
      </w:r>
      <w:r>
        <w:rPr>
          <w:sz w:val="20"/>
          <w:szCs w:val="20"/>
        </w:rPr>
        <w:t xml:space="preserve">_____________________________________, дейс</w:t>
      </w:r>
      <w:r>
        <w:rPr>
          <w:sz w:val="20"/>
          <w:szCs w:val="20"/>
        </w:rPr>
        <w:t xml:space="preserve">твующего на основании ____________________________________________________________________, с другой стороны, вместе именуемые Стороны, заключили настоящий Договор о нижеследующем:</w:t>
      </w:r>
      <w:r/>
    </w:p>
    <w:p>
      <w:pPr>
        <w:ind w:right="-5" w:firstLine="540"/>
        <w:jc w:val="both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ПРЕДМЕТ ДОГОВОРА</w:t>
      </w:r>
      <w:r/>
    </w:p>
    <w:p>
      <w:pPr>
        <w:ind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1.1. В соответствии с настоящим </w:t>
      </w:r>
      <w:r>
        <w:rPr>
          <w:sz w:val="20"/>
          <w:szCs w:val="20"/>
        </w:rPr>
        <w:t xml:space="preserve">Д</w:t>
      </w:r>
      <w:r>
        <w:rPr>
          <w:sz w:val="20"/>
          <w:szCs w:val="20"/>
        </w:rPr>
        <w:t xml:space="preserve">оговором Поставщик об</w:t>
      </w:r>
      <w:r>
        <w:rPr>
          <w:sz w:val="20"/>
          <w:szCs w:val="20"/>
        </w:rPr>
        <w:t xml:space="preserve">язуется изготовить и поставить, а Покупатель принять и оплатить Кондитерские изделия, именуемые в дальнейшем </w:t>
      </w:r>
      <w:r>
        <w:rPr>
          <w:sz w:val="20"/>
          <w:szCs w:val="20"/>
        </w:rPr>
        <w:noBreakHyphen/>
        <w:t xml:space="preserve"> Товар.</w:t>
      </w:r>
      <w:r/>
    </w:p>
    <w:p>
      <w:pPr>
        <w:ind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1.2. Товарно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транспортные накладные (далее </w:t>
      </w:r>
      <w:r>
        <w:rPr>
          <w:sz w:val="20"/>
          <w:szCs w:val="20"/>
        </w:rPr>
        <w:noBreakHyphen/>
        <w:t xml:space="preserve"> ТТН) выписываются Поставщиком на каждую партию Товара, поставляемую Покупателю в количестве</w:t>
      </w:r>
      <w:r>
        <w:rPr>
          <w:sz w:val="20"/>
          <w:szCs w:val="20"/>
        </w:rPr>
        <w:t xml:space="preserve"> и ассортименте на основании согласованной дополнительно Сторонами заявки с уч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том возможности Поставщика, в соответствии с прейскурантом цен на дату отгрузки.</w:t>
      </w:r>
      <w:r/>
    </w:p>
    <w:p>
      <w:pPr>
        <w:ind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1.3. Цель приобретения Товара: собственное потребление / розничная торговля </w:t>
      </w:r>
      <w:r>
        <w:rPr>
          <w:i/>
          <w:sz w:val="20"/>
          <w:szCs w:val="20"/>
        </w:rPr>
        <w:t xml:space="preserve">(нужное подчеркнуть)</w:t>
      </w:r>
      <w:r>
        <w:rPr>
          <w:sz w:val="20"/>
          <w:szCs w:val="20"/>
        </w:rPr>
        <w:t xml:space="preserve">. Покупатель обязуется реализовывать Товар строго в соответствии с целями его приобретения установленными настоящим пунктом Договора.</w:t>
      </w:r>
      <w:r/>
    </w:p>
    <w:p>
      <w:pPr>
        <w:ind w:firstLine="540"/>
        <w:jc w:val="both"/>
        <w:tabs>
          <w:tab w:val="left" w:pos="-540" w:leader="none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1.4.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Реализация Покупателем Товара за пределами территории Республики Беларусь</w:t>
      </w:r>
      <w:r>
        <w:rPr>
          <w:sz w:val="20"/>
          <w:szCs w:val="20"/>
        </w:rPr>
        <w:t xml:space="preserve">, а также реализация Товара через электронны</w:t>
      </w:r>
      <w:r>
        <w:rPr>
          <w:sz w:val="20"/>
          <w:szCs w:val="20"/>
        </w:rPr>
        <w:t xml:space="preserve">е торговые площадки - маркетплейсы, в том числе иностранные (</w:t>
      </w:r>
      <w:hyperlink r:id="rId12" w:tooltip="Яндекс.Маркет" w:history="1">
        <w:r>
          <w:rPr>
            <w:sz w:val="20"/>
            <w:szCs w:val="20"/>
          </w:rPr>
          <w:t xml:space="preserve">«Яндекс.Маркет»</w:t>
        </w:r>
      </w:hyperlink>
      <w:r>
        <w:rPr>
          <w:sz w:val="20"/>
          <w:szCs w:val="20"/>
        </w:rPr>
        <w:t xml:space="preserve">, </w:t>
      </w:r>
      <w:hyperlink r:id="rId13" w:tooltip="Wildberries" w:history="1">
        <w:r>
          <w:rPr>
            <w:sz w:val="20"/>
            <w:szCs w:val="20"/>
          </w:rPr>
          <w:t xml:space="preserve">Wildberries</w:t>
        </w:r>
      </w:hyperlink>
      <w:r>
        <w:rPr>
          <w:sz w:val="20"/>
          <w:szCs w:val="20"/>
        </w:rPr>
        <w:t xml:space="preserve">, </w:t>
      </w:r>
      <w:hyperlink r:id="rId14" w:tooltip="Ozon" w:history="1">
        <w:r>
          <w:rPr>
            <w:sz w:val="20"/>
            <w:szCs w:val="20"/>
          </w:rPr>
          <w:t xml:space="preserve">Ozon</w:t>
        </w:r>
      </w:hyperlink>
      <w:r>
        <w:rPr>
          <w:sz w:val="20"/>
          <w:szCs w:val="20"/>
        </w:rPr>
        <w:t xml:space="preserve">, </w:t>
      </w:r>
      <w:hyperlink r:id="rId15" w:tooltip="СберМегаМаркет" w:history="1">
        <w:r>
          <w:rPr>
            <w:sz w:val="20"/>
            <w:szCs w:val="20"/>
          </w:rPr>
          <w:t xml:space="preserve">«СберМегаМаркет»</w:t>
        </w:r>
      </w:hyperlink>
      <w:r>
        <w:rPr>
          <w:sz w:val="20"/>
          <w:szCs w:val="20"/>
        </w:rPr>
        <w:t xml:space="preserve"> и др.),</w:t>
      </w:r>
      <w:r>
        <w:rPr>
          <w:sz w:val="20"/>
          <w:szCs w:val="20"/>
        </w:rPr>
        <w:t xml:space="preserve"> допускается только с письменного согласия Поставщика</w:t>
      </w:r>
      <w:r>
        <w:rPr>
          <w:sz w:val="20"/>
          <w:szCs w:val="20"/>
        </w:rPr>
        <w:t xml:space="preserve">. Письменное согласие оформляется на фирменном бланке Поставщика за подписью генерального директора или заместителя генерального директора и заверяется печатью Поставщи</w:t>
      </w:r>
      <w:r>
        <w:rPr>
          <w:sz w:val="20"/>
          <w:szCs w:val="20"/>
        </w:rPr>
        <w:t xml:space="preserve">ка.</w:t>
      </w:r>
      <w:r/>
    </w:p>
    <w:p>
      <w:pPr>
        <w:ind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КАЧЕСТВО, УПАКОВКА, МАРКИРОВКА</w:t>
      </w:r>
      <w:r/>
    </w:p>
    <w:p>
      <w:pPr>
        <w:ind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2.1. Качество Товара должно соответствовать требованиям действующего ТР ТС 021/2011 «О безопасности пищевой продукции» и стандартов Республики Беларусь на кондитерские изделия (СТБ 2211-2011, ГОСТ 4570-93, ГОСТ 30058-</w:t>
      </w:r>
      <w:r>
        <w:rPr>
          <w:sz w:val="20"/>
          <w:szCs w:val="20"/>
        </w:rPr>
        <w:t xml:space="preserve">95, СТБ 2374-2014, СТБ 934-93, СТБ 1205-2012, СТБ 1204-2012, ГОСТ 6478, ТУ РБ 101191824.683-2000, СТБ 1202-2014). Поставщик гарантирует качество поставляемой продукции при соблюдении Покупателем температуры воздуха при транспортировании и хранении от +15 д</w:t>
      </w:r>
      <w:r>
        <w:rPr>
          <w:sz w:val="20"/>
          <w:szCs w:val="20"/>
        </w:rPr>
        <w:t xml:space="preserve">о +21 °С и относительной влажности воздуха не более 70</w:t>
      </w:r>
      <w:r>
        <w:rPr>
          <w:sz w:val="20"/>
          <w:szCs w:val="20"/>
        </w:rPr>
        <w:t xml:space="preserve">-75</w:t>
      </w:r>
      <w:r>
        <w:rPr>
          <w:sz w:val="20"/>
          <w:szCs w:val="20"/>
        </w:rPr>
        <w:t xml:space="preserve">%.</w:t>
      </w:r>
      <w:r/>
    </w:p>
    <w:p>
      <w:pPr>
        <w:ind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2.2. Маркировка и упаковка Товара соответствует требованиям ТР ТС 022/2011 «Пищевая продукция в части е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 маркировки», ТР ТС 005/2011 «О безопасности упаковки».</w:t>
      </w:r>
      <w:r/>
    </w:p>
    <w:p>
      <w:pPr>
        <w:ind w:firstLine="540"/>
        <w:jc w:val="both"/>
        <w:tabs>
          <w:tab w:val="left" w:pos="-540" w:leader="none"/>
        </w:tabs>
        <w:rPr>
          <w:i/>
          <w:sz w:val="20"/>
          <w:szCs w:val="20"/>
        </w:rPr>
      </w:pPr>
      <w:r>
        <w:rPr>
          <w:sz w:val="20"/>
          <w:szCs w:val="20"/>
        </w:rPr>
        <w:t xml:space="preserve">2.3</w:t>
      </w:r>
      <w:r>
        <w:rPr>
          <w:sz w:val="20"/>
          <w:szCs w:val="20"/>
        </w:rPr>
        <w:t xml:space="preserve">. Товар, поставляемый по настоящему договору, должен отгружаться в упаковке, соответствующей характеру поставляемого Товара. При этом упаковка должна обеспечивать сохранность Товара и предохранять его от повреждений при перевозке автомобильным транспортом.</w:t>
      </w:r>
      <w:r/>
    </w:p>
    <w:p>
      <w:pPr>
        <w:ind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2.4. При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мка Товара по количеству и качеству производится в соответствии с требованиями Положения о при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мке товаров по количеству и качеству, утвержд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нно</w:t>
      </w:r>
      <w:r>
        <w:rPr>
          <w:sz w:val="20"/>
          <w:szCs w:val="20"/>
        </w:rPr>
        <w:t xml:space="preserve">го</w:t>
      </w:r>
      <w:r>
        <w:rPr>
          <w:sz w:val="20"/>
          <w:szCs w:val="20"/>
        </w:rPr>
        <w:t xml:space="preserve"> постановлением Совета Министров Республики Беларусь №1290 от 03.09.2008 года.</w:t>
      </w:r>
      <w:r/>
    </w:p>
    <w:p>
      <w:pPr>
        <w:ind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2.5. В случае поставк</w:t>
      </w:r>
      <w:r>
        <w:rPr>
          <w:sz w:val="20"/>
          <w:szCs w:val="20"/>
        </w:rPr>
        <w:t xml:space="preserve">и Товара Покупателю на поддонах, поддоны подлежат возврату Поставщику в полном объ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ме. Поставщик устанавливает на поддоны цену в виде залога, которая является залоговой стоимостью поддонов и указывается в ТТН. Покупатель </w:t>
      </w:r>
      <w:r>
        <w:rPr>
          <w:sz w:val="20"/>
          <w:szCs w:val="20"/>
        </w:rPr>
        <w:t xml:space="preserve">за свой счёт либо обратным рейсом п</w:t>
      </w:r>
      <w:r>
        <w:rPr>
          <w:sz w:val="20"/>
          <w:szCs w:val="20"/>
        </w:rPr>
        <w:t xml:space="preserve">ри очередной поставке партии Товара обязан  </w:t>
      </w:r>
      <w:r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озвратить</w:t>
      </w:r>
      <w:r>
        <w:rPr>
          <w:sz w:val="20"/>
          <w:szCs w:val="20"/>
        </w:rPr>
        <w:t xml:space="preserve"> поддоны в полном объ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ме в течение </w:t>
      </w:r>
      <w:r>
        <w:rPr>
          <w:sz w:val="20"/>
          <w:szCs w:val="20"/>
        </w:rPr>
        <w:t xml:space="preserve">10</w:t>
      </w:r>
      <w:r>
        <w:rPr>
          <w:sz w:val="20"/>
          <w:szCs w:val="20"/>
        </w:rPr>
        <w:t xml:space="preserve">0 </w:t>
      </w:r>
      <w:r>
        <w:rPr>
          <w:sz w:val="20"/>
          <w:szCs w:val="20"/>
        </w:rPr>
        <w:t xml:space="preserve">(ста</w:t>
      </w:r>
      <w:r>
        <w:rPr>
          <w:sz w:val="20"/>
          <w:szCs w:val="20"/>
        </w:rPr>
        <w:t xml:space="preserve">) календарных дней </w:t>
      </w:r>
      <w:r>
        <w:rPr>
          <w:sz w:val="20"/>
          <w:szCs w:val="20"/>
        </w:rPr>
        <w:t xml:space="preserve">со</w:t>
      </w:r>
      <w:r>
        <w:rPr>
          <w:sz w:val="20"/>
          <w:szCs w:val="20"/>
        </w:rPr>
        <w:t xml:space="preserve"> дня, следующего за днем получения Товара Покупателем</w:t>
      </w:r>
      <w:r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В</w:t>
      </w:r>
      <w:r>
        <w:rPr>
          <w:sz w:val="20"/>
          <w:szCs w:val="20"/>
        </w:rPr>
        <w:t xml:space="preserve"> случае возврата поддонов обратным рейсом при очередной поставке партии Товара П</w:t>
      </w:r>
      <w:r>
        <w:rPr>
          <w:sz w:val="20"/>
          <w:szCs w:val="20"/>
        </w:rPr>
        <w:t xml:space="preserve">окупатель готовит поддоны согласно ТТН к отгрузке к моменту прибытия транспорта Поставщика. Погрузка поддонов производится на складе Покупателя после разгрузки транспорта Поставщика. Поддоны должны быть возвращены в исправном состоянии, пригодном для их по</w:t>
      </w:r>
      <w:r>
        <w:rPr>
          <w:sz w:val="20"/>
          <w:szCs w:val="20"/>
        </w:rPr>
        <w:t xml:space="preserve">следующего использования. Оформление ТТН на возврат поддонов производится в соответствии с требованиями законодательства Республики Беларусь.</w:t>
      </w:r>
      <w:r/>
    </w:p>
    <w:p>
      <w:pPr>
        <w:ind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В случае просрочки возврата/невозврата поддонов, их утери либо повреждении, данные поддоны считаются переданными  </w:t>
      </w:r>
      <w:r>
        <w:rPr>
          <w:sz w:val="20"/>
          <w:szCs w:val="20"/>
        </w:rPr>
        <w:t xml:space="preserve">в собственность Покупателя и Покупатель обязан оплатить их по залоговой стоимости с учётом НДС в размере 20 (двадцать) процентов в течение 10 (десяти) банковских дней после перехода к нему права собственности на поддоны.</w:t>
      </w:r>
      <w:r/>
    </w:p>
    <w:p>
      <w:pPr>
        <w:ind w:right="-6"/>
        <w:jc w:val="both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6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СРОКИ И УСЛОВИЯ ПОСТАВКИ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3.1. Количество, ассортимент и сроки поставки определяются предварительно согласованной заявкой с уч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том возможностей Поставщика. Покупатель направляет (размещает) заявки Поставщику в письменной форме, в том числе посредством факсимильной и (или) электронн</w:t>
      </w:r>
      <w:r>
        <w:rPr>
          <w:sz w:val="20"/>
          <w:szCs w:val="20"/>
        </w:rPr>
        <w:t xml:space="preserve">ой связи.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3.2. Срок исполнения заявки Поставщиком – 3 (три) банковских дня с момента согласования заявки и перечисления Покупателем предоплаты в размере, указанном в п.4.2 настоящего договора. Моментом согласования заявки считается дата выставления Поставщ</w:t>
      </w:r>
      <w:r>
        <w:rPr>
          <w:sz w:val="20"/>
          <w:szCs w:val="20"/>
        </w:rPr>
        <w:t xml:space="preserve">иком сч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та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фактуры.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3.3. Датой отгрузки Товара является дата выписки Поставщиком ТТН.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3.4. Доставка Товара осуществляется транспортом Поставщика на условиях Франко-с</w:t>
      </w:r>
      <w:r>
        <w:rPr>
          <w:sz w:val="20"/>
          <w:szCs w:val="20"/>
        </w:rPr>
        <w:t xml:space="preserve">клад</w:t>
      </w:r>
      <w:r>
        <w:rPr>
          <w:sz w:val="20"/>
          <w:szCs w:val="20"/>
        </w:rPr>
        <w:t xml:space="preserve"> назначения или транспортом Покупателя на условиях Франко-склад изготовителя. Транспо</w:t>
      </w:r>
      <w:r>
        <w:rPr>
          <w:sz w:val="20"/>
          <w:szCs w:val="20"/>
        </w:rPr>
        <w:t xml:space="preserve">ртное средство Покупателя должно иметь санитарный паспорт. 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3.5. Поставщик обязуется передать на поставленный Товар следующие документы: ТТН, качественное удостоверение и копии других документов, предоставление которых предусмотрено законодательством Респу</w:t>
      </w:r>
      <w:r>
        <w:rPr>
          <w:sz w:val="20"/>
          <w:szCs w:val="20"/>
        </w:rPr>
        <w:t xml:space="preserve">блики Беларусь.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3.6. Покупатель обязуется осуществить разгрузку автотранспорта, направленного Поставщиком, в течение 1 часа, с обязательным указанием в ТТН, в соответствии с постановлением Министерства финансов Республики Беларусь №58 от 30 июня 2016 г., т</w:t>
      </w:r>
      <w:r>
        <w:rPr>
          <w:sz w:val="20"/>
          <w:szCs w:val="20"/>
        </w:rPr>
        <w:t xml:space="preserve">очного времени прибытия водителя под разгрузку и убытия после е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 окончания в часах и минутах, время простоя под разгрузкой и дополнительные операции. Время ожидания разгрузки засчитывается в вышеуказанный период. Время прибытия транспортного средства под р</w:t>
      </w:r>
      <w:r>
        <w:rPr>
          <w:sz w:val="20"/>
          <w:szCs w:val="20"/>
        </w:rPr>
        <w:t xml:space="preserve">азгрузку исчисляется с момента предъявления грузополучателю ТТН в пункте разгрузки. Разгрузка считается оконченной после вручения водителю (экспедитору) оформленной ТТН.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3.7. Покупатель обязан предоставить Поставщику в письменном виде перечень пунктов назн</w:t>
      </w:r>
      <w:r>
        <w:rPr>
          <w:sz w:val="20"/>
          <w:szCs w:val="20"/>
        </w:rPr>
        <w:t xml:space="preserve">ачения поставки (пунктов разгрузки) Товара с указанием адресов.</w:t>
      </w:r>
      <w:r/>
    </w:p>
    <w:p>
      <w:pPr>
        <w:ind w:right="-6" w:firstLine="540"/>
        <w:jc w:val="both"/>
        <w:tabs>
          <w:tab w:val="left" w:pos="-540" w:leader="none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3.8. Поставка Товара осуществляется после зачисления денежных средств на расчётный счёт Поставщика.</w:t>
      </w:r>
      <w:r/>
    </w:p>
    <w:p>
      <w:pPr>
        <w:ind w:right="-6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6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ЦЕНЫ И ПОРЯДОК РАСЧ</w:t>
      </w:r>
      <w:r>
        <w:rPr>
          <w:b/>
          <w:sz w:val="20"/>
          <w:szCs w:val="20"/>
        </w:rPr>
        <w:t xml:space="preserve">Ё</w:t>
      </w:r>
      <w:r>
        <w:rPr>
          <w:b/>
          <w:sz w:val="20"/>
          <w:szCs w:val="20"/>
        </w:rPr>
        <w:t xml:space="preserve">ТА</w:t>
      </w:r>
      <w:r>
        <w:rPr>
          <w:b/>
          <w:sz w:val="20"/>
          <w:szCs w:val="20"/>
        </w:rPr>
        <w:t xml:space="preserve">, ОТВЕТСТВЕННОСТЬ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4.1. Цены на Товар устанавливаются Поставщиком в</w:t>
      </w:r>
      <w:r>
        <w:rPr>
          <w:sz w:val="20"/>
          <w:szCs w:val="20"/>
        </w:rPr>
        <w:t xml:space="preserve"> белорусских рублях согласно Прейскуранту цен, действующему на момент отгрузки каждой партии Товара. Изменение цен на Товар производится Поставщиком при изменении цен на сырье, материалы, энергоносители, а также с изменением законодательства Республики Бел</w:t>
      </w:r>
      <w:r>
        <w:rPr>
          <w:sz w:val="20"/>
          <w:szCs w:val="20"/>
        </w:rPr>
        <w:t xml:space="preserve">арусь. 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4.1.1. </w:t>
      </w:r>
      <w:r>
        <w:rPr>
          <w:sz w:val="20"/>
          <w:szCs w:val="20"/>
        </w:rPr>
        <w:t xml:space="preserve">Покупатель обязуется установить торговую надбавку не более 20 % на следующие виды шоколада торговой марки «Президент»: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- шоколад «Президент» горький без сахара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72%, 90г;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- шоколад «Президент Эксклюзив» горький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72%, 100г; 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- шоколад «Президент Эксклюзив» горький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78%, 100г;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- шоколад «Президент Эксклюзив» горький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85%, 100г</w:t>
      </w:r>
      <w:r>
        <w:rPr>
          <w:sz w:val="20"/>
          <w:szCs w:val="20"/>
        </w:rPr>
        <w:t xml:space="preserve">;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</w:rPr>
      </w:pPr>
      <w:r>
        <w:rPr>
          <w:sz w:val="20"/>
          <w:szCs w:val="20"/>
        </w:rPr>
        <w:t xml:space="preserve">- шоколад «Президент» молочный 100г.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</w:rPr>
      </w:pPr>
      <w:r>
        <w:rPr>
          <w:sz w:val="20"/>
        </w:rPr>
        <w:t xml:space="preserve">4.2. Покупатель оплачивает Товар пут</w:t>
      </w:r>
      <w:r>
        <w:rPr>
          <w:sz w:val="20"/>
        </w:rPr>
        <w:t xml:space="preserve">ё</w:t>
      </w:r>
      <w:r>
        <w:rPr>
          <w:sz w:val="20"/>
        </w:rPr>
        <w:t xml:space="preserve">м перечисления денежных средств на расч</w:t>
      </w:r>
      <w:r>
        <w:rPr>
          <w:sz w:val="20"/>
        </w:rPr>
        <w:t xml:space="preserve">ё</w:t>
      </w:r>
      <w:r>
        <w:rPr>
          <w:sz w:val="20"/>
        </w:rPr>
        <w:t xml:space="preserve">тный сч</w:t>
      </w:r>
      <w:r>
        <w:rPr>
          <w:sz w:val="20"/>
        </w:rPr>
        <w:t xml:space="preserve">ё</w:t>
      </w:r>
      <w:r>
        <w:rPr>
          <w:sz w:val="20"/>
        </w:rPr>
        <w:t xml:space="preserve">т Поставщика плат</w:t>
      </w:r>
      <w:r>
        <w:rPr>
          <w:sz w:val="20"/>
        </w:rPr>
        <w:t xml:space="preserve">ё</w:t>
      </w:r>
      <w:r>
        <w:rPr>
          <w:sz w:val="20"/>
        </w:rPr>
        <w:t xml:space="preserve">жным поручение</w:t>
      </w:r>
      <w:r>
        <w:rPr>
          <w:sz w:val="20"/>
        </w:rPr>
        <w:t xml:space="preserve">м в порядке предоплаты в размере 100%.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4.3. Общая стоимость настоящего </w:t>
      </w:r>
      <w:r>
        <w:rPr>
          <w:sz w:val="20"/>
          <w:szCs w:val="20"/>
        </w:rPr>
        <w:t xml:space="preserve">Д</w:t>
      </w:r>
      <w:r>
        <w:rPr>
          <w:sz w:val="20"/>
          <w:szCs w:val="20"/>
        </w:rPr>
        <w:t xml:space="preserve">оговора складывается из суммы стоимости партий Товаров, поставленных Поставщиком на протяжении срока действия </w:t>
      </w:r>
      <w:r>
        <w:rPr>
          <w:sz w:val="20"/>
          <w:szCs w:val="20"/>
        </w:rPr>
        <w:t xml:space="preserve">Д</w:t>
      </w:r>
      <w:r>
        <w:rPr>
          <w:sz w:val="20"/>
          <w:szCs w:val="20"/>
        </w:rPr>
        <w:t xml:space="preserve">оговора и отраж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нных в ТТН.</w:t>
      </w:r>
      <w:r/>
    </w:p>
    <w:p>
      <w:pPr>
        <w:ind w:right="-6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4.4. Стороны в течение срока действия настоящ</w:t>
      </w:r>
      <w:r>
        <w:rPr>
          <w:sz w:val="20"/>
          <w:szCs w:val="20"/>
        </w:rPr>
        <w:t xml:space="preserve">его Договора, но не реже одного раза квартал, осуществляют сверку расч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тов. Сторона, получившая Акт сверки расч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тов, обязана в 10-дневный срок его рассмотреть и подписать, а при наличии возражений </w:t>
      </w:r>
      <w:r>
        <w:rPr>
          <w:sz w:val="20"/>
          <w:szCs w:val="20"/>
        </w:rPr>
        <w:noBreakHyphen/>
        <w:t xml:space="preserve"> известить о них в течение 10-ти дней в письменном виде Ст</w:t>
      </w:r>
      <w:r>
        <w:rPr>
          <w:sz w:val="20"/>
          <w:szCs w:val="20"/>
        </w:rPr>
        <w:t xml:space="preserve">орону, представившую Акт сверки расч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тов, в противном случае по истечении вышеуказанного срока Акт сверки расч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тов будет считаться подписанным надлежащим образом Стороной, в чей адрес он был представлен.</w:t>
      </w:r>
      <w:r/>
    </w:p>
    <w:p>
      <w:pPr>
        <w:ind w:right="-5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4.</w:t>
      </w:r>
      <w:r>
        <w:rPr>
          <w:sz w:val="20"/>
          <w:szCs w:val="20"/>
        </w:rPr>
        <w:t xml:space="preserve">5</w:t>
      </w:r>
      <w:r>
        <w:rPr>
          <w:sz w:val="20"/>
          <w:szCs w:val="20"/>
        </w:rPr>
        <w:t xml:space="preserve">. В случае простоя автотранспорта Поставщика боле</w:t>
      </w:r>
      <w:r>
        <w:rPr>
          <w:sz w:val="20"/>
          <w:szCs w:val="20"/>
        </w:rPr>
        <w:t xml:space="preserve">е 1 часа в пункте разгрузки Покупателя с момента прибытия, последний уплачивает Поставщику штраф в размере 3 (тр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х) базовых величин за каждый </w:t>
      </w:r>
      <w:r>
        <w:rPr>
          <w:sz w:val="20"/>
          <w:szCs w:val="20"/>
        </w:rPr>
        <w:t xml:space="preserve">начавшиеся </w:t>
      </w:r>
      <w:r>
        <w:rPr>
          <w:sz w:val="20"/>
          <w:szCs w:val="20"/>
        </w:rPr>
        <w:t xml:space="preserve">час простоя.</w:t>
      </w:r>
      <w:r/>
    </w:p>
    <w:p>
      <w:pPr>
        <w:ind w:right="-5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4.</w:t>
      </w:r>
      <w:r>
        <w:rPr>
          <w:sz w:val="20"/>
          <w:szCs w:val="20"/>
        </w:rPr>
        <w:t xml:space="preserve">6</w:t>
      </w:r>
      <w:r>
        <w:rPr>
          <w:sz w:val="20"/>
          <w:szCs w:val="20"/>
        </w:rPr>
        <w:t xml:space="preserve">. В случае изменения местонахождения, платёжных и почтовых реквизитов, наименования каж</w:t>
      </w:r>
      <w:r>
        <w:rPr>
          <w:sz w:val="20"/>
          <w:szCs w:val="20"/>
        </w:rPr>
        <w:t xml:space="preserve">дая из </w:t>
      </w:r>
      <w:r>
        <w:rPr>
          <w:sz w:val="20"/>
          <w:szCs w:val="20"/>
        </w:rPr>
        <w:t xml:space="preserve">С</w:t>
      </w:r>
      <w:r>
        <w:rPr>
          <w:sz w:val="20"/>
          <w:szCs w:val="20"/>
        </w:rPr>
        <w:t xml:space="preserve">торон обязуется в течение 5 (пяти) календарных дней уведомить другую сторону письменно. В случае реорганизации или ликвидации Покупателя последний обязан в течение 5 (пяти) календарных дней уведомить Поставщика письменно.</w:t>
      </w:r>
      <w:r/>
    </w:p>
    <w:p>
      <w:pPr>
        <w:ind w:right="-5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4.</w:t>
      </w:r>
      <w:r>
        <w:rPr>
          <w:sz w:val="20"/>
          <w:szCs w:val="20"/>
        </w:rPr>
        <w:t xml:space="preserve">7</w:t>
      </w:r>
      <w:r>
        <w:rPr>
          <w:sz w:val="20"/>
          <w:szCs w:val="20"/>
        </w:rPr>
        <w:t xml:space="preserve">. В случае нарушения Покупателем условий </w:t>
      </w:r>
      <w:r>
        <w:rPr>
          <w:sz w:val="20"/>
          <w:szCs w:val="20"/>
        </w:rPr>
        <w:t xml:space="preserve">Д</w:t>
      </w:r>
      <w:r>
        <w:rPr>
          <w:sz w:val="20"/>
          <w:szCs w:val="20"/>
        </w:rPr>
        <w:t xml:space="preserve">оговора, повл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кших за собой негативные последствия для Поставщика, Покупатель возмещает Поставщику понесённые убытки и расходы в полном объёме.</w:t>
      </w:r>
      <w:r/>
    </w:p>
    <w:p>
      <w:pPr>
        <w:ind w:right="-5" w:firstLine="540"/>
        <w:jc w:val="both"/>
        <w:tabs>
          <w:tab w:val="left" w:pos="-540" w:leader="none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4.</w:t>
      </w:r>
      <w:r>
        <w:rPr>
          <w:sz w:val="20"/>
          <w:szCs w:val="20"/>
        </w:rPr>
        <w:t xml:space="preserve">8</w:t>
      </w:r>
      <w:r>
        <w:rPr>
          <w:sz w:val="20"/>
          <w:szCs w:val="20"/>
        </w:rPr>
        <w:t xml:space="preserve">. Стороны договорились, что электронный счет-фактура (далее – ЭСЧФ)</w:t>
      </w:r>
      <w:r>
        <w:rPr>
          <w:sz w:val="20"/>
          <w:szCs w:val="20"/>
        </w:rPr>
        <w:t xml:space="preserve"> является обязательным электронным документом, служащим основанием для осуществления расчетов по налогу на добавленную стоимость между Покупателем и Поставщиком и принятия к вычету сумм налога. Поставщик обязуется в отношении каждого оборота по реализации </w:t>
      </w:r>
      <w:r>
        <w:rPr>
          <w:sz w:val="20"/>
          <w:szCs w:val="20"/>
        </w:rPr>
        <w:t xml:space="preserve">Т</w:t>
      </w:r>
      <w:r>
        <w:rPr>
          <w:sz w:val="20"/>
          <w:szCs w:val="20"/>
        </w:rPr>
        <w:t xml:space="preserve">оваров в порядке и сроки, предусмотренные ст.131 Налогового кодекса Республики Беларусь, выставить ЭСЧФ Покупателю или направить на Портал МНС Республики Беларусь. ЭСЧФ выставляется не ранее дня поставки товара и не позднее 10-го числа месяца, следующего </w:t>
      </w:r>
      <w:r>
        <w:rPr>
          <w:sz w:val="20"/>
          <w:szCs w:val="20"/>
        </w:rPr>
        <w:t xml:space="preserve">за месяцем</w:t>
      </w:r>
      <w:r>
        <w:rPr>
          <w:sz w:val="20"/>
          <w:szCs w:val="20"/>
        </w:rPr>
        <w:t xml:space="preserve">, в котором был отгружен Товар</w:t>
      </w:r>
      <w:r>
        <w:rPr>
          <w:sz w:val="20"/>
          <w:szCs w:val="20"/>
        </w:rPr>
        <w:t xml:space="preserve">.</w:t>
      </w:r>
      <w:r/>
    </w:p>
    <w:p>
      <w:pPr>
        <w:ind w:right="-5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5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ПОРЯДОК РАЗРЕШЕНИЯ СПОРОВ</w:t>
      </w:r>
      <w:r/>
    </w:p>
    <w:p>
      <w:pPr>
        <w:ind w:right="-5" w:firstLine="540"/>
        <w:jc w:val="both"/>
        <w:tabs>
          <w:tab w:val="left" w:pos="-540" w:leader="none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5.1. Все споры и разногласия, которые могут возникнуть из настоящего Договора или в связи с ним, будут регулироваться Сторонами пут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м взаимных переговоров. В случае если споры и разног</w:t>
      </w:r>
      <w:r>
        <w:rPr>
          <w:sz w:val="20"/>
          <w:szCs w:val="20"/>
        </w:rPr>
        <w:t xml:space="preserve">ласия не будут разрешены пут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м переговоров, они будут подлежать разрешению в экономическом суде города Минска в порядке, предусмотренном  законодательством Республики Беларусь.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Досудебный порядок урегулирования спора является обязательным. Срок рассмотрени</w:t>
      </w:r>
      <w:r>
        <w:rPr>
          <w:sz w:val="20"/>
          <w:szCs w:val="20"/>
        </w:rPr>
        <w:t xml:space="preserve">я претензионного письма </w:t>
      </w:r>
      <w:r>
        <w:rPr>
          <w:sz w:val="20"/>
          <w:szCs w:val="20"/>
        </w:rPr>
        <w:t xml:space="preserve">(претензии) </w:t>
      </w:r>
      <w:r>
        <w:rPr>
          <w:sz w:val="20"/>
          <w:szCs w:val="20"/>
        </w:rPr>
        <w:t xml:space="preserve">составляет 10 (десять) календарных дней с момента его получения</w:t>
      </w:r>
      <w:r>
        <w:rPr>
          <w:sz w:val="20"/>
          <w:szCs w:val="20"/>
        </w:rPr>
        <w:t xml:space="preserve">.</w:t>
      </w:r>
      <w:r/>
    </w:p>
    <w:p>
      <w:pPr>
        <w:ind w:right="-5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5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СРОКИ, ПОРЯДОК ИЗМЕНЕНИЯ И РАСТОРЖЕНИЯ ДОГОВОРА</w:t>
      </w:r>
      <w:r/>
    </w:p>
    <w:p>
      <w:pPr>
        <w:pStyle w:val="917"/>
        <w:ind w:right="-5" w:firstLine="540"/>
        <w:jc w:val="both"/>
        <w:widowControl/>
        <w:tabs>
          <w:tab w:val="left" w:pos="-54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Настоящий Договор вступает в силу с момента подписания и действует по 31 декабря 20</w:t>
      </w:r>
      <w:r>
        <w:rPr>
          <w:rFonts w:ascii="Times New Roman" w:hAnsi="Times New Roman" w:cs="Times New Roman"/>
        </w:rPr>
        <w:t xml:space="preserve">2</w:t>
      </w:r>
      <w:r>
        <w:rPr>
          <w:rFonts w:ascii="Times New Roman" w:hAnsi="Times New Roman" w:cs="Times New Roman"/>
        </w:rPr>
        <w:t xml:space="preserve">3</w:t>
      </w:r>
      <w:r>
        <w:rPr>
          <w:rFonts w:ascii="Times New Roman" w:hAnsi="Times New Roman" w:cs="Times New Roman"/>
        </w:rPr>
        <w:t xml:space="preserve"> года, а в ча</w:t>
      </w:r>
      <w:r>
        <w:rPr>
          <w:rFonts w:ascii="Times New Roman" w:hAnsi="Times New Roman" w:cs="Times New Roman"/>
        </w:rPr>
        <w:t xml:space="preserve">сти неисполненных обязательств – до полного исполнения сторонами условий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оговора. В случае если ни одна из сторон за 30 (тридцать) календарных дней до окончания действия настоящего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оговора в письменной форме не сообщит о </w:t>
      </w:r>
      <w:r>
        <w:rPr>
          <w:rFonts w:ascii="Times New Roman" w:hAnsi="Times New Roman" w:cs="Times New Roman"/>
        </w:rPr>
        <w:t xml:space="preserve">желании его расторгнуть, данный </w:t>
      </w:r>
      <w:r>
        <w:rPr>
          <w:rFonts w:ascii="Times New Roman" w:hAnsi="Times New Roman" w:cs="Times New Roman"/>
        </w:rPr>
        <w:t xml:space="preserve">Д</w:t>
      </w:r>
      <w:r>
        <w:rPr>
          <w:rFonts w:ascii="Times New Roman" w:hAnsi="Times New Roman" w:cs="Times New Roman"/>
        </w:rPr>
        <w:t xml:space="preserve">оговор считается пролонгированным на каждый последующий календарный год</w:t>
      </w:r>
      <w:r>
        <w:rPr>
          <w:rFonts w:ascii="Times New Roman" w:hAnsi="Times New Roman" w:cs="Times New Roman"/>
        </w:rPr>
        <w:t xml:space="preserve"> неограниченное количество раз</w:t>
      </w:r>
      <w:r>
        <w:rPr>
          <w:rFonts w:ascii="Times New Roman" w:hAnsi="Times New Roman" w:cs="Times New Roman"/>
        </w:rPr>
        <w:t xml:space="preserve">.</w:t>
      </w:r>
      <w:r/>
    </w:p>
    <w:p>
      <w:pPr>
        <w:ind w:right="-5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6.2. Документы, переданные с использованием средств факсимильной связи, имеют юридическую силу, что не освобождает Стороны от последующего предоставления</w:t>
      </w:r>
      <w:r>
        <w:rPr>
          <w:sz w:val="20"/>
          <w:szCs w:val="20"/>
        </w:rPr>
        <w:t xml:space="preserve"> друг другу оригиналов документов.</w:t>
      </w:r>
      <w:r/>
    </w:p>
    <w:p>
      <w:pPr>
        <w:ind w:right="-5" w:firstLine="540"/>
        <w:jc w:val="both"/>
        <w:tabs>
          <w:tab w:val="left" w:pos="-54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6.3. Все дополнения или изменения условий настоящего Договора производятся только по соглашению Сторон и оформляются соответствующими письменными документами.</w:t>
      </w:r>
      <w:r/>
    </w:p>
    <w:p>
      <w:pPr>
        <w:ind w:right="-5" w:firstLine="540"/>
        <w:jc w:val="both"/>
        <w:tabs>
          <w:tab w:val="left" w:pos="-540" w:leader="none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6.4. Настоящий Договор может быть расторгнут по инициативе люб</w:t>
      </w:r>
      <w:r>
        <w:rPr>
          <w:sz w:val="20"/>
          <w:szCs w:val="20"/>
        </w:rPr>
        <w:t xml:space="preserve">ой из Сторон при условии направления ею уведомления о расторжении Договора не позднее чем за 30 (тридцать) календарных дней до его расторжения.</w:t>
      </w:r>
      <w:r/>
    </w:p>
    <w:p>
      <w:pPr>
        <w:ind w:right="-5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5" w:firstLine="540"/>
        <w:jc w:val="center"/>
        <w:tabs>
          <w:tab w:val="left" w:pos="-540" w:leader="none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ОБСТОЯТЕЛЬСТВА НЕПРЕОДОЛИМОЙ СИЛЫ</w:t>
      </w:r>
      <w:r/>
    </w:p>
    <w:p>
      <w:pPr>
        <w:ind w:right="-5" w:firstLine="540"/>
        <w:jc w:val="both"/>
        <w:tabs>
          <w:tab w:val="left" w:pos="-540" w:leader="none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7.1. Стороны освобождаются от ответственности за частичное или полное неис</w:t>
      </w:r>
      <w:r>
        <w:rPr>
          <w:sz w:val="20"/>
          <w:szCs w:val="20"/>
        </w:rPr>
        <w:t xml:space="preserve">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которые Стороны не могли предвидеть или предотвратить.</w:t>
      </w:r>
      <w:r/>
    </w:p>
    <w:p>
      <w:pPr>
        <w:ind w:right="21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21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ДОПОЛНИТЕЛЬНЫЕ УСЛОВИЯ</w:t>
      </w:r>
      <w:r/>
    </w:p>
    <w:p>
      <w:pPr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8.1. </w:t>
      </w:r>
      <w:r>
        <w:rPr>
          <w:sz w:val="20"/>
          <w:szCs w:val="20"/>
        </w:rPr>
        <w:t xml:space="preserve">К настоящему Договору прилагаются копии свидетельств о государственной регистрации Сторон и другие необходимые документы, заверенные надлежащим образом.</w:t>
      </w:r>
      <w:r/>
    </w:p>
    <w:p>
      <w:pPr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 Во всем остальном, что не предусмотрено условиями настоящего Договора, Стороны руководствуются зак</w:t>
      </w:r>
      <w:r>
        <w:rPr>
          <w:sz w:val="20"/>
          <w:szCs w:val="20"/>
        </w:rPr>
        <w:t xml:space="preserve">онодательством Республики Беларусь.</w:t>
      </w:r>
      <w:r/>
    </w:p>
    <w:p>
      <w:pPr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8.3. Настоящий Договор будет считаться исполненным надлежащим образом после выполнения взаимных обязательств и урегулирования всех расч</w:t>
      </w:r>
      <w:r>
        <w:rPr>
          <w:sz w:val="20"/>
          <w:szCs w:val="20"/>
        </w:rPr>
        <w:t xml:space="preserve">ё</w:t>
      </w:r>
      <w:r>
        <w:rPr>
          <w:sz w:val="20"/>
          <w:szCs w:val="20"/>
        </w:rPr>
        <w:t xml:space="preserve">тов между Сторонами.</w:t>
      </w:r>
      <w:r/>
    </w:p>
    <w:p>
      <w:pPr>
        <w:ind w:right="-6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Настоящий Договор составлен в двух экземплярах, имеющих од</w:t>
      </w:r>
      <w:r>
        <w:rPr>
          <w:sz w:val="20"/>
          <w:szCs w:val="20"/>
        </w:rPr>
        <w:t xml:space="preserve">инаковую юридическую силу, по одному экземпляру для каждой из Сторон.</w:t>
      </w:r>
      <w:r/>
    </w:p>
    <w:p>
      <w:pPr>
        <w:pStyle w:val="918"/>
        <w:ind w:firstLine="567"/>
        <w:jc w:val="both"/>
      </w:pPr>
      <w:r>
        <w:t xml:space="preserve">8.5. Все приложения и дополнения к настоящему Договору являются неотъемлемой его частью.</w:t>
      </w:r>
      <w:r/>
    </w:p>
    <w:p>
      <w:pPr>
        <w:ind w:right="-5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</w:r>
      <w:r/>
    </w:p>
    <w:p>
      <w:pPr>
        <w:ind w:right="-5" w:firstLine="18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ЮРИДИЧЕСКИЕ АДРЕСА СТОРОН И БАНКОВСКИЕ РЕКВИЗИТЫ</w:t>
      </w:r>
      <w:r/>
    </w:p>
    <w:tbl>
      <w:tblPr>
        <w:tblpPr w:horzAnchor="margin" w:tblpXSpec="center" w:vertAnchor="text" w:tblpY="182" w:leftFromText="180" w:topFromText="0" w:rightFromText="180" w:bottomFromText="0"/>
        <w:tblW w:w="10078" w:type="dxa"/>
        <w:tblLayout w:type="fixed"/>
        <w:tblLook w:val="04A0" w:firstRow="1" w:lastRow="0" w:firstColumn="1" w:lastColumn="0" w:noHBand="0" w:noVBand="1"/>
      </w:tblPr>
      <w:tblGrid>
        <w:gridCol w:w="5148"/>
        <w:gridCol w:w="4930"/>
      </w:tblGrid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ПОСТАВЩИК</w:t>
            </w:r>
            <w:r>
              <w:rPr>
                <w:sz w:val="20"/>
                <w:szCs w:val="20"/>
              </w:rPr>
              <w:t xml:space="preserve">:</w:t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ПОКУПАТЕЛЬ</w:t>
            </w:r>
            <w:r>
              <w:rPr>
                <w:sz w:val="20"/>
                <w:szCs w:val="20"/>
              </w:rPr>
              <w:t xml:space="preserve">:</w:t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СОАО «Коммунарка» </w:t>
            </w:r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220033, г. Минск ул. Аранская, 18</w:t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УНН 100088732  ОКПО 00390449</w:t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  <w:lang w:val="en-US"/>
              </w:rPr>
              <w:t xml:space="preserve">BY</w:t>
            </w:r>
            <w:r>
              <w:rPr>
                <w:sz w:val="20"/>
                <w:szCs w:val="20"/>
              </w:rPr>
              <w:t xml:space="preserve">61</w:t>
            </w:r>
            <w:r>
              <w:rPr>
                <w:sz w:val="20"/>
                <w:szCs w:val="20"/>
                <w:lang w:val="en-US"/>
              </w:rPr>
              <w:t xml:space="preserve">BELB</w:t>
            </w:r>
            <w:r>
              <w:rPr>
                <w:sz w:val="20"/>
                <w:szCs w:val="20"/>
              </w:rPr>
              <w:t xml:space="preserve">30120060480080226000</w:t>
            </w:r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«Банк БелВЭБ», БИК  </w:t>
            </w:r>
            <w:r>
              <w:rPr>
                <w:sz w:val="20"/>
                <w:szCs w:val="20"/>
                <w:lang w:val="en-US"/>
              </w:rPr>
              <w:t xml:space="preserve">BELBBY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  <w:lang w:val="en-US"/>
              </w:rPr>
              <w:t xml:space="preserve">X</w:t>
            </w:r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г.Минск, пр.Победителей, 29</w:t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р/с </w:t>
            </w:r>
            <w:r>
              <w:rPr>
                <w:sz w:val="20"/>
                <w:szCs w:val="20"/>
                <w:lang w:val="en-US"/>
              </w:rPr>
              <w:t xml:space="preserve">BY</w:t>
            </w:r>
            <w:r>
              <w:rPr>
                <w:sz w:val="20"/>
                <w:szCs w:val="20"/>
              </w:rPr>
              <w:t xml:space="preserve">81</w:t>
            </w:r>
            <w:r>
              <w:rPr>
                <w:sz w:val="20"/>
                <w:szCs w:val="20"/>
                <w:lang w:val="en-US"/>
              </w:rPr>
              <w:t xml:space="preserve">AKBB</w:t>
            </w:r>
            <w:r>
              <w:rPr>
                <w:sz w:val="20"/>
                <w:szCs w:val="20"/>
              </w:rPr>
              <w:t xml:space="preserve">30125240095390000000</w:t>
            </w:r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ЦБУ № 52</w:t>
            </w:r>
            <w:r>
              <w:rPr>
                <w:sz w:val="20"/>
                <w:szCs w:val="20"/>
              </w:rPr>
              <w:t xml:space="preserve">7</w:t>
            </w:r>
            <w:r>
              <w:rPr>
                <w:sz w:val="20"/>
                <w:szCs w:val="20"/>
              </w:rPr>
              <w:t xml:space="preserve"> ОАО «АСБ Беларусбанк»</w:t>
            </w:r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</w:t>
            </w:r>
            <w:r>
              <w:rPr>
                <w:sz w:val="20"/>
                <w:szCs w:val="20"/>
                <w:lang w:val="en-US"/>
              </w:rPr>
              <w:t xml:space="preserve">AKBBBY</w:t>
            </w:r>
            <w:r>
              <w:rPr>
                <w:sz w:val="20"/>
                <w:szCs w:val="20"/>
              </w:rPr>
              <w:t xml:space="preserve">2</w:t>
            </w:r>
            <w:r>
              <w:rPr>
                <w:sz w:val="20"/>
                <w:szCs w:val="20"/>
                <w:lang w:val="en-US"/>
              </w:rPr>
              <w:t xml:space="preserve">X</w:t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Минск, ул. </w:t>
            </w:r>
            <w:r>
              <w:rPr>
                <w:sz w:val="20"/>
                <w:szCs w:val="20"/>
              </w:rPr>
              <w:t xml:space="preserve">Воронянского,7А</w:t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продаж: г. Минск т/ф. </w:t>
            </w:r>
            <w:r>
              <w:rPr>
                <w:sz w:val="20"/>
                <w:szCs w:val="20"/>
              </w:rPr>
              <w:t xml:space="preserve">378</w:t>
            </w:r>
            <w:r>
              <w:rPr>
                <w:sz w:val="20"/>
                <w:szCs w:val="20"/>
              </w:rPr>
              <w:t xml:space="preserve">-45-74,  </w:t>
            </w:r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Минская область: </w:t>
            </w:r>
            <w:r>
              <w:rPr>
                <w:sz w:val="20"/>
                <w:szCs w:val="20"/>
              </w:rPr>
              <w:t xml:space="preserve">364</w:t>
            </w:r>
            <w:r>
              <w:rPr>
                <w:sz w:val="20"/>
                <w:szCs w:val="20"/>
              </w:rPr>
              <w:t xml:space="preserve">-45-75 (77)</w:t>
            </w:r>
            <w:r/>
          </w:p>
          <w:p>
            <w:pPr>
              <w:ind w:right="-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Электронная почта: </w:t>
            </w:r>
            <w:hyperlink r:id="rId16" w:tooltip="mailto:sales@kommunarka.by" w:history="1">
              <w:r>
                <w:rPr>
                  <w:sz w:val="20"/>
                  <w:szCs w:val="20"/>
                </w:rPr>
                <w:t xml:space="preserve">sales@kommunarka.by</w:t>
              </w:r>
            </w:hyperlink>
            <w:r/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Бухгалтерия: </w:t>
            </w:r>
            <w:r>
              <w:rPr>
                <w:sz w:val="20"/>
                <w:szCs w:val="20"/>
              </w:rPr>
              <w:t xml:space="preserve">374</w:t>
            </w:r>
            <w:r>
              <w:rPr>
                <w:sz w:val="20"/>
                <w:szCs w:val="20"/>
              </w:rPr>
              <w:t xml:space="preserve">-61-07 </w:t>
            </w:r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контроля качества: т. 2</w:t>
            </w:r>
            <w:r>
              <w:rPr>
                <w:sz w:val="20"/>
                <w:szCs w:val="20"/>
              </w:rPr>
              <w:t xml:space="preserve">15</w:t>
            </w:r>
            <w:r>
              <w:rPr>
                <w:sz w:val="20"/>
                <w:szCs w:val="20"/>
              </w:rPr>
              <w:t xml:space="preserve">-12-98</w:t>
            </w:r>
            <w:r/>
          </w:p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</w:t>
            </w:r>
            <w:r>
              <w:rPr>
                <w:sz w:val="20"/>
                <w:szCs w:val="20"/>
              </w:rPr>
              <w:t xml:space="preserve">_____________________/</w:t>
            </w:r>
            <w:r>
              <w:rPr>
                <w:sz w:val="20"/>
                <w:szCs w:val="20"/>
              </w:rPr>
              <w:t xml:space="preserve">______________________</w:t>
            </w:r>
            <w:r>
              <w:rPr>
                <w:sz w:val="20"/>
                <w:szCs w:val="20"/>
              </w:rPr>
              <w:t xml:space="preserve">/    </w:t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______________________/_____________________/</w:t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/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80"/>
        </w:trPr>
        <w:tc>
          <w:tcPr>
            <w:tcW w:w="5148" w:type="dxa"/>
            <w:textDirection w:val="lrTb"/>
            <w:noWrap w:val="false"/>
          </w:tcPr>
          <w:p>
            <w:pPr>
              <w:ind w:right="-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4930" w:type="dxa"/>
            <w:textDirection w:val="lrTb"/>
            <w:noWrap w:val="false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sz w:val="20"/>
          <w:szCs w:val="20"/>
        </w:rPr>
      </w:pPr>
      <w:r>
        <w:rPr>
          <w:sz w:val="20"/>
          <w:szCs w:val="20"/>
        </w:rPr>
      </w:r>
      <w:r/>
    </w:p>
    <w:p>
      <w:r/>
      <w:r/>
    </w:p>
    <w:sectPr>
      <w:headerReference w:type="default" r:id="rId8"/>
      <w:footerReference w:type="default" r:id="rId9"/>
      <w:footerReference w:type="even" r:id="rId10"/>
      <w:footnotePr/>
      <w:endnotePr/>
      <w:type w:val="nextPage"/>
      <w:pgSz w:w="11906" w:h="16838" w:orient="portrait"/>
      <w:pgMar w:top="899" w:right="567" w:bottom="567" w:left="1134" w:header="709" w:footer="62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">
    <w:panose1 w:val="020B0604020202020204"/>
  </w:font>
  <w:font w:name="SimSun">
    <w:panose1 w:val="02020603020101020101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both"/>
      <w:rPr>
        <w:sz w:val="16"/>
      </w:rPr>
    </w:pPr>
    <w:r>
      <w:rPr>
        <w:sz w:val="16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0288" behindDoc="0" locked="0" layoutInCell="1" allowOverlap="1">
              <wp:simplePos x="0" y="0"/>
              <wp:positionH relativeFrom="margin">
                <wp:posOffset>6397625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1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 xml:space="preserve">1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9.0pt;mso-wrap-distance-top:0.0pt;mso-wrap-distance-right:9.0pt;mso-wrap-distance-bottom:0.0pt;z-index:251660288;o:allowoverlap:true;o:allowincell:true;mso-position-horizontal-relative:margin;margin-left:503.8pt;mso-position-horizontal:absolute;mso-position-vertical-relative:text;margin-top:0.0pt;mso-position-vertical:absolute;width:144.0pt;height:144.0pt;v-text-anchor:top;" coordsize="100000,100000" path="" filled="f" stroked="f" strokeweight="0.50pt">
              <v:path textboxrect="0,0,0,0"/>
              <v:textbox>
                <w:txbxContent>
                  <w:p>
                    <w:pPr>
                      <w:pStyle w:val="91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 xml:space="preserve">1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>
      <w:rPr>
        <w:sz w:val="16"/>
      </w:rPr>
      <w:t xml:space="preserve">Поставщик</w:t>
    </w:r>
    <w:r>
      <w:rPr>
        <w:sz w:val="16"/>
      </w:rPr>
      <w:t xml:space="preserve">:</w:t>
    </w:r>
    <w:r>
      <w:rPr>
        <w:sz w:val="16"/>
      </w:rPr>
      <w:tab/>
    </w:r>
    <w:r>
      <w:rPr>
        <w:sz w:val="16"/>
      </w:rPr>
      <w:t xml:space="preserve">                                                                     Покупатель:</w:t>
    </w:r>
    <w:r/>
  </w:p>
  <w:p>
    <w:pPr>
      <w:pStyle w:val="916"/>
      <w:jc w:val="both"/>
      <w:rPr>
        <w:sz w:val="16"/>
      </w:rPr>
    </w:pPr>
    <w:r>
      <w:rPr>
        <w:sz w:val="16"/>
      </w:rPr>
      <w:tab/>
      <w:t xml:space="preserve">                                                                                                                                                    </w:t>
    </w:r>
    <w:r/>
  </w:p>
  <w:p>
    <w:pPr>
      <w:pStyle w:val="916"/>
      <w:jc w:val="both"/>
      <w:tabs>
        <w:tab w:val="clear" w:pos="9355" w:leader="none"/>
        <w:tab w:val="right" w:pos="10080" w:leader="none"/>
      </w:tabs>
      <w:rPr>
        <w:sz w:val="16"/>
        <w:szCs w:val="16"/>
      </w:rPr>
    </w:pPr>
    <w:r>
      <w:rPr>
        <w:sz w:val="16"/>
      </w:rPr>
      <w:t xml:space="preserve">__________________/______</w:t>
    </w:r>
    <w:r>
      <w:rPr>
        <w:sz w:val="16"/>
      </w:rPr>
      <w:t xml:space="preserve">______________/</w:t>
    </w:r>
    <w:r>
      <w:rPr>
        <w:sz w:val="16"/>
      </w:rPr>
      <w:tab/>
    </w:r>
    <w:r>
      <w:rPr>
        <w:sz w:val="16"/>
      </w:rPr>
      <w:tab/>
      <w:t xml:space="preserve">_________________/____________________/</w:t>
    </w:r>
    <w:r>
      <w:rPr>
        <w:sz w:val="16"/>
      </w:rPr>
      <w:tab/>
      <w:t xml:space="preserve">                                                                                                </w:t>
    </w:r>
    <w:r>
      <w:rPr>
        <w:sz w:val="16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16"/>
                          </w:pPr>
                          <w:r/>
                          <w:r/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margin;mso-position-horizontal:right;mso-position-vertical-relative:text;margin-top:0.0pt;mso-position-vertical:absolute;width:144.0pt;height:144.0pt;v-text-anchor:top;" coordsize="100000,100000" path="" filled="f" stroked="f" strokeweight="0.50pt">
              <v:path textboxrect="0,0,0,0"/>
              <v:textbox>
                <w:txbxContent>
                  <w:p>
                    <w:pPr>
                      <w:pStyle w:val="916"/>
                    </w:pPr>
                    <w:r/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rPr>
        <w:rStyle w:val="913"/>
      </w:rPr>
      <w:framePr w:wrap="around" w:vAnchor="text" w:hAnchor="margin" w:xAlign="right" w:y="1"/>
    </w:pPr>
    <w:r>
      <w:rPr>
        <w:rStyle w:val="913"/>
      </w:rPr>
      <w:fldChar w:fldCharType="begin"/>
    </w:r>
    <w:r>
      <w:rPr>
        <w:rStyle w:val="913"/>
      </w:rPr>
      <w:instrText xml:space="preserve">PAGE  </w:instrText>
    </w:r>
    <w:r>
      <w:rPr>
        <w:rStyle w:val="913"/>
      </w:rPr>
      <w:fldChar w:fldCharType="end"/>
    </w:r>
    <w:r/>
  </w:p>
  <w:p>
    <w:pPr>
      <w:pStyle w:val="91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4"/>
      <w:jc w:val="both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SimSu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43"/>
    <w:link w:val="735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43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743"/>
    <w:link w:val="757"/>
    <w:uiPriority w:val="10"/>
    <w:rPr>
      <w:sz w:val="48"/>
      <w:szCs w:val="48"/>
    </w:rPr>
  </w:style>
  <w:style w:type="character" w:styleId="35">
    <w:name w:val="Subtitle Char"/>
    <w:basedOn w:val="743"/>
    <w:link w:val="759"/>
    <w:uiPriority w:val="11"/>
    <w:rPr>
      <w:sz w:val="24"/>
      <w:szCs w:val="24"/>
    </w:rPr>
  </w:style>
  <w:style w:type="character" w:styleId="37">
    <w:name w:val="Quote Char"/>
    <w:link w:val="761"/>
    <w:uiPriority w:val="29"/>
    <w:rPr>
      <w:i/>
    </w:rPr>
  </w:style>
  <w:style w:type="character" w:styleId="39">
    <w:name w:val="Intense Quote Char"/>
    <w:link w:val="763"/>
    <w:uiPriority w:val="30"/>
    <w:rPr>
      <w:i/>
    </w:rPr>
  </w:style>
  <w:style w:type="character" w:styleId="41">
    <w:name w:val="Header Char"/>
    <w:basedOn w:val="743"/>
    <w:link w:val="914"/>
    <w:uiPriority w:val="99"/>
  </w:style>
  <w:style w:type="character" w:styleId="45">
    <w:name w:val="Caption Char"/>
    <w:basedOn w:val="767"/>
    <w:link w:val="916"/>
    <w:uiPriority w:val="99"/>
  </w:style>
  <w:style w:type="character" w:styleId="174">
    <w:name w:val="Footnote Text Char"/>
    <w:link w:val="896"/>
    <w:uiPriority w:val="99"/>
    <w:rPr>
      <w:sz w:val="18"/>
    </w:rPr>
  </w:style>
  <w:style w:type="character" w:styleId="177">
    <w:name w:val="Endnote Text Char"/>
    <w:link w:val="899"/>
    <w:uiPriority w:val="99"/>
    <w:rPr>
      <w:sz w:val="20"/>
    </w:rPr>
  </w:style>
  <w:style w:type="paragraph" w:styleId="733" w:default="1">
    <w:name w:val="Normal"/>
    <w:qFormat/>
    <w:rPr>
      <w:rFonts w:eastAsia="Times New Roman"/>
      <w:sz w:val="24"/>
      <w:szCs w:val="24"/>
    </w:rPr>
  </w:style>
  <w:style w:type="paragraph" w:styleId="734">
    <w:name w:val="Heading 1"/>
    <w:basedOn w:val="733"/>
    <w:next w:val="733"/>
    <w:link w:val="746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35">
    <w:name w:val="Heading 2"/>
    <w:basedOn w:val="733"/>
    <w:next w:val="733"/>
    <w:link w:val="7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36">
    <w:name w:val="Heading 3"/>
    <w:basedOn w:val="733"/>
    <w:next w:val="733"/>
    <w:link w:val="74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7">
    <w:name w:val="Heading 4"/>
    <w:basedOn w:val="733"/>
    <w:next w:val="733"/>
    <w:link w:val="74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38">
    <w:name w:val="Heading 5"/>
    <w:basedOn w:val="733"/>
    <w:next w:val="733"/>
    <w:link w:val="75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39">
    <w:name w:val="Heading 6"/>
    <w:basedOn w:val="733"/>
    <w:next w:val="733"/>
    <w:link w:val="7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40">
    <w:name w:val="Heading 7"/>
    <w:basedOn w:val="733"/>
    <w:next w:val="733"/>
    <w:link w:val="75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41">
    <w:name w:val="Heading 8"/>
    <w:basedOn w:val="733"/>
    <w:next w:val="733"/>
    <w:link w:val="7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742">
    <w:name w:val="Heading 9"/>
    <w:basedOn w:val="733"/>
    <w:next w:val="733"/>
    <w:link w:val="75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43" w:default="1">
    <w:name w:val="Default Paragraph Font"/>
    <w:uiPriority w:val="1"/>
    <w:semiHidden/>
    <w:unhideWhenUsed/>
  </w:style>
  <w:style w:type="table" w:styleId="74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5" w:default="1">
    <w:name w:val="No List"/>
    <w:uiPriority w:val="99"/>
    <w:semiHidden/>
    <w:unhideWhenUsed/>
  </w:style>
  <w:style w:type="character" w:styleId="746" w:customStyle="1">
    <w:name w:val="Заголовок 1 Знак"/>
    <w:basedOn w:val="743"/>
    <w:link w:val="734"/>
    <w:uiPriority w:val="9"/>
    <w:rPr>
      <w:rFonts w:ascii="Arial" w:hAnsi="Arial" w:cs="Arial" w:eastAsia="Arial"/>
      <w:sz w:val="40"/>
      <w:szCs w:val="40"/>
    </w:rPr>
  </w:style>
  <w:style w:type="character" w:styleId="747" w:customStyle="1">
    <w:name w:val="Заголовок 2 Знак"/>
    <w:basedOn w:val="743"/>
    <w:link w:val="735"/>
    <w:uiPriority w:val="9"/>
    <w:rPr>
      <w:rFonts w:ascii="Arial" w:hAnsi="Arial" w:cs="Arial" w:eastAsia="Arial"/>
      <w:sz w:val="34"/>
    </w:rPr>
  </w:style>
  <w:style w:type="character" w:styleId="748" w:customStyle="1">
    <w:name w:val="Заголовок 3 Знак"/>
    <w:basedOn w:val="743"/>
    <w:link w:val="736"/>
    <w:uiPriority w:val="9"/>
    <w:rPr>
      <w:rFonts w:ascii="Arial" w:hAnsi="Arial" w:cs="Arial" w:eastAsia="Arial"/>
      <w:sz w:val="30"/>
      <w:szCs w:val="30"/>
    </w:rPr>
  </w:style>
  <w:style w:type="character" w:styleId="749" w:customStyle="1">
    <w:name w:val="Заголовок 4 Знак"/>
    <w:basedOn w:val="743"/>
    <w:link w:val="737"/>
    <w:uiPriority w:val="9"/>
    <w:rPr>
      <w:rFonts w:ascii="Arial" w:hAnsi="Arial" w:cs="Arial" w:eastAsia="Arial"/>
      <w:b/>
      <w:bCs/>
      <w:sz w:val="26"/>
      <w:szCs w:val="26"/>
    </w:rPr>
  </w:style>
  <w:style w:type="character" w:styleId="750" w:customStyle="1">
    <w:name w:val="Заголовок 5 Знак"/>
    <w:basedOn w:val="743"/>
    <w:link w:val="738"/>
    <w:uiPriority w:val="9"/>
    <w:rPr>
      <w:rFonts w:ascii="Arial" w:hAnsi="Arial" w:cs="Arial" w:eastAsia="Arial"/>
      <w:b/>
      <w:bCs/>
      <w:sz w:val="24"/>
      <w:szCs w:val="24"/>
    </w:rPr>
  </w:style>
  <w:style w:type="character" w:styleId="751" w:customStyle="1">
    <w:name w:val="Заголовок 6 Знак"/>
    <w:basedOn w:val="743"/>
    <w:link w:val="739"/>
    <w:uiPriority w:val="9"/>
    <w:rPr>
      <w:rFonts w:ascii="Arial" w:hAnsi="Arial" w:cs="Arial" w:eastAsia="Arial"/>
      <w:b/>
      <w:bCs/>
      <w:sz w:val="22"/>
      <w:szCs w:val="22"/>
    </w:rPr>
  </w:style>
  <w:style w:type="character" w:styleId="752" w:customStyle="1">
    <w:name w:val="Заголовок 7 Знак"/>
    <w:basedOn w:val="743"/>
    <w:link w:val="74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 w:customStyle="1">
    <w:name w:val="Заголовок 8 Знак"/>
    <w:basedOn w:val="743"/>
    <w:link w:val="741"/>
    <w:uiPriority w:val="9"/>
    <w:rPr>
      <w:rFonts w:ascii="Arial" w:hAnsi="Arial" w:cs="Arial" w:eastAsia="Arial"/>
      <w:i/>
      <w:iCs/>
      <w:sz w:val="22"/>
      <w:szCs w:val="22"/>
    </w:rPr>
  </w:style>
  <w:style w:type="character" w:styleId="754" w:customStyle="1">
    <w:name w:val="Заголовок 9 Знак"/>
    <w:basedOn w:val="743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733"/>
    <w:uiPriority w:val="34"/>
    <w:qFormat/>
    <w:pPr>
      <w:contextualSpacing/>
      <w:ind w:left="720"/>
    </w:pPr>
  </w:style>
  <w:style w:type="paragraph" w:styleId="756">
    <w:name w:val="No Spacing"/>
    <w:uiPriority w:val="1"/>
    <w:qFormat/>
  </w:style>
  <w:style w:type="paragraph" w:styleId="757">
    <w:name w:val="Title"/>
    <w:basedOn w:val="733"/>
    <w:next w:val="733"/>
    <w:link w:val="7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8" w:customStyle="1">
    <w:name w:val="Заголовок Знак"/>
    <w:basedOn w:val="743"/>
    <w:link w:val="757"/>
    <w:uiPriority w:val="10"/>
    <w:rPr>
      <w:sz w:val="48"/>
      <w:szCs w:val="48"/>
    </w:rPr>
  </w:style>
  <w:style w:type="paragraph" w:styleId="759">
    <w:name w:val="Subtitle"/>
    <w:basedOn w:val="733"/>
    <w:next w:val="733"/>
    <w:link w:val="760"/>
    <w:uiPriority w:val="11"/>
    <w:qFormat/>
    <w:pPr>
      <w:spacing w:before="200" w:after="200"/>
    </w:pPr>
  </w:style>
  <w:style w:type="character" w:styleId="760" w:customStyle="1">
    <w:name w:val="Подзаголовок Знак"/>
    <w:basedOn w:val="743"/>
    <w:link w:val="759"/>
    <w:uiPriority w:val="11"/>
    <w:rPr>
      <w:sz w:val="24"/>
      <w:szCs w:val="24"/>
    </w:rPr>
  </w:style>
  <w:style w:type="paragraph" w:styleId="761">
    <w:name w:val="Quote"/>
    <w:basedOn w:val="733"/>
    <w:next w:val="733"/>
    <w:link w:val="762"/>
    <w:uiPriority w:val="29"/>
    <w:qFormat/>
    <w:pPr>
      <w:ind w:left="720" w:right="720"/>
    </w:pPr>
    <w:rPr>
      <w:i/>
    </w:r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733"/>
    <w:next w:val="733"/>
    <w:link w:val="76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4" w:customStyle="1">
    <w:name w:val="Выделенная цитата Знак"/>
    <w:link w:val="763"/>
    <w:uiPriority w:val="30"/>
    <w:rPr>
      <w:i/>
    </w:rPr>
  </w:style>
  <w:style w:type="character" w:styleId="765" w:customStyle="1">
    <w:name w:val="Верхний колонтитул Знак"/>
    <w:basedOn w:val="743"/>
    <w:link w:val="914"/>
    <w:uiPriority w:val="99"/>
  </w:style>
  <w:style w:type="character" w:styleId="766" w:customStyle="1">
    <w:name w:val="Footer Char"/>
    <w:basedOn w:val="743"/>
    <w:uiPriority w:val="99"/>
  </w:style>
  <w:style w:type="paragraph" w:styleId="767">
    <w:name w:val="Caption"/>
    <w:basedOn w:val="733"/>
    <w:next w:val="733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768" w:customStyle="1">
    <w:name w:val="Нижний колонтитул Знак"/>
    <w:link w:val="916"/>
    <w:uiPriority w:val="99"/>
  </w:style>
  <w:style w:type="table" w:styleId="769">
    <w:name w:val="Table Grid"/>
    <w:basedOn w:val="74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70" w:customStyle="1">
    <w:name w:val="Table Grid Light"/>
    <w:basedOn w:val="74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1">
    <w:name w:val="Plain Table 1"/>
    <w:basedOn w:val="744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2"/>
    <w:basedOn w:val="744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>
    <w:name w:val="Plain Table 3"/>
    <w:basedOn w:val="7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>
    <w:name w:val="Plain Table 4"/>
    <w:basedOn w:val="7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Plain Table 5"/>
    <w:basedOn w:val="744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6">
    <w:name w:val="Grid Table 1 Light"/>
    <w:basedOn w:val="744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744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74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74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74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744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74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Grid Table 2"/>
    <w:basedOn w:val="74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1"/>
    <w:basedOn w:val="744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2"/>
    <w:basedOn w:val="74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3"/>
    <w:basedOn w:val="74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4"/>
    <w:basedOn w:val="74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5"/>
    <w:basedOn w:val="744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6"/>
    <w:basedOn w:val="74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3"/>
    <w:basedOn w:val="744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1"/>
    <w:basedOn w:val="744"/>
    <w:uiPriority w:val="99"/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2"/>
    <w:basedOn w:val="744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3"/>
    <w:basedOn w:val="744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4"/>
    <w:basedOn w:val="744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5"/>
    <w:basedOn w:val="744"/>
    <w:uiPriority w:val="99"/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6"/>
    <w:basedOn w:val="744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Grid Table 4"/>
    <w:basedOn w:val="744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8" w:customStyle="1">
    <w:name w:val="Grid Table 4 - Accent 1"/>
    <w:basedOn w:val="744"/>
    <w:uiPriority w:val="5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99" w:customStyle="1">
    <w:name w:val="Grid Table 4 - Accent 2"/>
    <w:basedOn w:val="744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00" w:customStyle="1">
    <w:name w:val="Grid Table 4 - Accent 3"/>
    <w:basedOn w:val="744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01" w:customStyle="1">
    <w:name w:val="Grid Table 4 - Accent 4"/>
    <w:basedOn w:val="744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02" w:customStyle="1">
    <w:name w:val="Grid Table 4 - Accent 5"/>
    <w:basedOn w:val="744"/>
    <w:uiPriority w:val="5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03" w:customStyle="1">
    <w:name w:val="Grid Table 4 - Accent 6"/>
    <w:basedOn w:val="744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04">
    <w:name w:val="Grid Table 5 Dark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1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2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3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- Accent 4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5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 - Accent 6"/>
    <w:basedOn w:val="744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11">
    <w:name w:val="Grid Table 6 Colorful"/>
    <w:basedOn w:val="744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744"/>
    <w:uiPriority w:val="99"/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13" w:customStyle="1">
    <w:name w:val="Grid Table 6 Colorful - Accent 2"/>
    <w:basedOn w:val="74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744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74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744"/>
    <w:uiPriority w:val="99"/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7" w:customStyle="1">
    <w:name w:val="Grid Table 6 Colorful - Accent 6"/>
    <w:basedOn w:val="744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18">
    <w:name w:val="Grid Table 7 Colorful"/>
    <w:basedOn w:val="744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19" w:customStyle="1">
    <w:name w:val="Grid Table 7 Colorful - Accent 1"/>
    <w:basedOn w:val="744"/>
    <w:uiPriority w:val="99"/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CCCEA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0" w:customStyle="1">
    <w:name w:val="Grid Table 7 Colorful - Accent 2"/>
    <w:basedOn w:val="744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1" w:customStyle="1">
    <w:name w:val="Grid Table 7 Colorful - Accent 3"/>
    <w:basedOn w:val="744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2" w:customStyle="1">
    <w:name w:val="Grid Table 7 Colorful - Accent 4"/>
    <w:basedOn w:val="744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3" w:customStyle="1">
    <w:name w:val="Grid Table 7 Colorful - Accent 5"/>
    <w:basedOn w:val="744"/>
    <w:uiPriority w:val="99"/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5AFDD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4" w:customStyle="1">
    <w:name w:val="Grid Table 7 Colorful - Accent 6"/>
    <w:basedOn w:val="744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25">
    <w:name w:val="List Table 1 Light"/>
    <w:basedOn w:val="744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1"/>
    <w:basedOn w:val="744"/>
    <w:uiPriority w:val="99"/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2"/>
    <w:basedOn w:val="744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3"/>
    <w:basedOn w:val="744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4"/>
    <w:basedOn w:val="744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5"/>
    <w:basedOn w:val="744"/>
    <w:uiPriority w:val="99"/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6"/>
    <w:basedOn w:val="744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List Table 2"/>
    <w:basedOn w:val="744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1"/>
    <w:basedOn w:val="744"/>
    <w:uiPriority w:val="99"/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2"/>
    <w:basedOn w:val="744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3"/>
    <w:basedOn w:val="744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4"/>
    <w:basedOn w:val="744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5"/>
    <w:basedOn w:val="744"/>
    <w:uiPriority w:val="99"/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6"/>
    <w:basedOn w:val="744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39">
    <w:name w:val="List Table 3"/>
    <w:basedOn w:val="74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744"/>
    <w:uiPriority w:val="99"/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744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744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744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744"/>
    <w:uiPriority w:val="99"/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744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"/>
    <w:basedOn w:val="744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744"/>
    <w:uiPriority w:val="99"/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744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744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744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744"/>
    <w:uiPriority w:val="99"/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744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List Table 5 Dark"/>
    <w:basedOn w:val="744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744"/>
    <w:uiPriority w:val="99"/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744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744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744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744"/>
    <w:uiPriority w:val="99"/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744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>
    <w:name w:val="List Table 6 Colorful"/>
    <w:basedOn w:val="744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1" w:customStyle="1">
    <w:name w:val="List Table 6 Colorful - Accent 1"/>
    <w:basedOn w:val="744"/>
    <w:uiPriority w:val="99"/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862" w:customStyle="1">
    <w:name w:val="List Table 6 Colorful - Accent 2"/>
    <w:basedOn w:val="744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63" w:customStyle="1">
    <w:name w:val="List Table 6 Colorful - Accent 3"/>
    <w:basedOn w:val="744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64" w:customStyle="1">
    <w:name w:val="List Table 6 Colorful - Accent 4"/>
    <w:basedOn w:val="744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65" w:customStyle="1">
    <w:name w:val="List Table 6 Colorful - Accent 5"/>
    <w:basedOn w:val="744"/>
    <w:uiPriority w:val="99"/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866" w:customStyle="1">
    <w:name w:val="List Table 6 Colorful - Accent 6"/>
    <w:basedOn w:val="744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67">
    <w:name w:val="List Table 7 Colorful"/>
    <w:basedOn w:val="744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 w:customStyle="1">
    <w:name w:val="List Table 7 Colorful - Accent 1"/>
    <w:basedOn w:val="744"/>
    <w:uiPriority w:val="99"/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 w:customStyle="1">
    <w:name w:val="List Table 7 Colorful - Accent 2"/>
    <w:basedOn w:val="744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 w:customStyle="1">
    <w:name w:val="List Table 7 Colorful - Accent 3"/>
    <w:basedOn w:val="744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 w:customStyle="1">
    <w:name w:val="List Table 7 Colorful - Accent 4"/>
    <w:basedOn w:val="744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 w:customStyle="1">
    <w:name w:val="List Table 7 Colorful - Accent 5"/>
    <w:basedOn w:val="744"/>
    <w:uiPriority w:val="99"/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8DA9DB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 w:customStyle="1">
    <w:name w:val="List Table 7 Colorful - Accent 6"/>
    <w:basedOn w:val="744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4" w:customStyle="1">
    <w:name w:val="Lined - Accent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5" w:customStyle="1">
    <w:name w:val="Lined - Accent 1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76" w:customStyle="1">
    <w:name w:val="Lined - Accent 2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7" w:customStyle="1">
    <w:name w:val="Lined - Accent 3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8" w:customStyle="1">
    <w:name w:val="Lined - Accent 4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9" w:customStyle="1">
    <w:name w:val="Lined - Accent 5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0" w:customStyle="1">
    <w:name w:val="Lined - Accent 6"/>
    <w:basedOn w:val="744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1" w:customStyle="1">
    <w:name w:val="Bordered &amp; Lined - Accent"/>
    <w:basedOn w:val="744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2" w:customStyle="1">
    <w:name w:val="Bordered &amp; Lined - Accent 1"/>
    <w:basedOn w:val="744"/>
    <w:uiPriority w:val="99"/>
    <w:rPr>
      <w:color w:val="404040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83" w:customStyle="1">
    <w:name w:val="Bordered &amp; Lined - Accent 2"/>
    <w:basedOn w:val="744"/>
    <w:uiPriority w:val="99"/>
    <w:rPr>
      <w:color w:val="404040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84" w:customStyle="1">
    <w:name w:val="Bordered &amp; Lined - Accent 3"/>
    <w:basedOn w:val="744"/>
    <w:uiPriority w:val="99"/>
    <w:rPr>
      <w:color w:val="404040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85" w:customStyle="1">
    <w:name w:val="Bordered &amp; Lined - Accent 4"/>
    <w:basedOn w:val="744"/>
    <w:uiPriority w:val="99"/>
    <w:rPr>
      <w:color w:val="404040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86" w:customStyle="1">
    <w:name w:val="Bordered &amp; Lined - Accent 5"/>
    <w:basedOn w:val="744"/>
    <w:uiPriority w:val="99"/>
    <w:rPr>
      <w:color w:val="404040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87" w:customStyle="1">
    <w:name w:val="Bordered &amp; Lined - Accent 6"/>
    <w:basedOn w:val="744"/>
    <w:uiPriority w:val="99"/>
    <w:rPr>
      <w:color w:val="404040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88" w:customStyle="1">
    <w:name w:val="Bordered"/>
    <w:basedOn w:val="744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9" w:customStyle="1">
    <w:name w:val="Bordered - Accent 1"/>
    <w:basedOn w:val="744"/>
    <w:uiPriority w:val="99"/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90" w:customStyle="1">
    <w:name w:val="Bordered - Accent 2"/>
    <w:basedOn w:val="744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91" w:customStyle="1">
    <w:name w:val="Bordered - Accent 3"/>
    <w:basedOn w:val="744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92" w:customStyle="1">
    <w:name w:val="Bordered - Accent 4"/>
    <w:basedOn w:val="744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93" w:customStyle="1">
    <w:name w:val="Bordered - Accent 5"/>
    <w:basedOn w:val="744"/>
    <w:uiPriority w:val="99"/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94" w:customStyle="1">
    <w:name w:val="Bordered - Accent 6"/>
    <w:basedOn w:val="744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733"/>
    <w:link w:val="897"/>
    <w:uiPriority w:val="99"/>
    <w:semiHidden/>
    <w:unhideWhenUsed/>
    <w:pPr>
      <w:spacing w:after="40"/>
    </w:pPr>
    <w:rPr>
      <w:sz w:val="18"/>
    </w:r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743"/>
    <w:uiPriority w:val="99"/>
    <w:unhideWhenUsed/>
    <w:rPr>
      <w:vertAlign w:val="superscript"/>
    </w:rPr>
  </w:style>
  <w:style w:type="paragraph" w:styleId="899">
    <w:name w:val="endnote text"/>
    <w:basedOn w:val="733"/>
    <w:link w:val="900"/>
    <w:uiPriority w:val="99"/>
    <w:semiHidden/>
    <w:unhideWhenUsed/>
    <w:rPr>
      <w:sz w:val="20"/>
    </w:rPr>
  </w:style>
  <w:style w:type="character" w:styleId="900" w:customStyle="1">
    <w:name w:val="Текст концевой сноски Знак"/>
    <w:link w:val="899"/>
    <w:uiPriority w:val="99"/>
    <w:rPr>
      <w:sz w:val="20"/>
    </w:rPr>
  </w:style>
  <w:style w:type="character" w:styleId="901">
    <w:name w:val="endnote reference"/>
    <w:basedOn w:val="743"/>
    <w:uiPriority w:val="99"/>
    <w:semiHidden/>
    <w:unhideWhenUsed/>
    <w:rPr>
      <w:vertAlign w:val="superscript"/>
    </w:rPr>
  </w:style>
  <w:style w:type="paragraph" w:styleId="902">
    <w:name w:val="toc 1"/>
    <w:basedOn w:val="733"/>
    <w:next w:val="733"/>
    <w:uiPriority w:val="39"/>
    <w:unhideWhenUsed/>
    <w:pPr>
      <w:spacing w:after="57"/>
    </w:pPr>
  </w:style>
  <w:style w:type="paragraph" w:styleId="903">
    <w:name w:val="toc 2"/>
    <w:basedOn w:val="733"/>
    <w:next w:val="733"/>
    <w:uiPriority w:val="39"/>
    <w:unhideWhenUsed/>
    <w:pPr>
      <w:ind w:left="283"/>
      <w:spacing w:after="57"/>
    </w:pPr>
  </w:style>
  <w:style w:type="paragraph" w:styleId="904">
    <w:name w:val="toc 3"/>
    <w:basedOn w:val="733"/>
    <w:next w:val="733"/>
    <w:uiPriority w:val="39"/>
    <w:unhideWhenUsed/>
    <w:pPr>
      <w:ind w:left="567"/>
      <w:spacing w:after="57"/>
    </w:pPr>
  </w:style>
  <w:style w:type="paragraph" w:styleId="905">
    <w:name w:val="toc 4"/>
    <w:basedOn w:val="733"/>
    <w:next w:val="733"/>
    <w:uiPriority w:val="39"/>
    <w:unhideWhenUsed/>
    <w:pPr>
      <w:ind w:left="850"/>
      <w:spacing w:after="57"/>
    </w:pPr>
  </w:style>
  <w:style w:type="paragraph" w:styleId="906">
    <w:name w:val="toc 5"/>
    <w:basedOn w:val="733"/>
    <w:next w:val="733"/>
    <w:uiPriority w:val="39"/>
    <w:unhideWhenUsed/>
    <w:pPr>
      <w:ind w:left="1134"/>
      <w:spacing w:after="57"/>
    </w:pPr>
  </w:style>
  <w:style w:type="paragraph" w:styleId="907">
    <w:name w:val="toc 6"/>
    <w:basedOn w:val="733"/>
    <w:next w:val="733"/>
    <w:uiPriority w:val="39"/>
    <w:unhideWhenUsed/>
    <w:pPr>
      <w:ind w:left="1417"/>
      <w:spacing w:after="57"/>
    </w:pPr>
  </w:style>
  <w:style w:type="paragraph" w:styleId="908">
    <w:name w:val="toc 7"/>
    <w:basedOn w:val="733"/>
    <w:next w:val="733"/>
    <w:uiPriority w:val="39"/>
    <w:unhideWhenUsed/>
    <w:pPr>
      <w:ind w:left="1701"/>
      <w:spacing w:after="57"/>
    </w:pPr>
  </w:style>
  <w:style w:type="paragraph" w:styleId="909">
    <w:name w:val="toc 8"/>
    <w:basedOn w:val="733"/>
    <w:next w:val="733"/>
    <w:uiPriority w:val="39"/>
    <w:unhideWhenUsed/>
    <w:pPr>
      <w:ind w:left="1984"/>
      <w:spacing w:after="57"/>
    </w:pPr>
  </w:style>
  <w:style w:type="paragraph" w:styleId="910">
    <w:name w:val="toc 9"/>
    <w:basedOn w:val="733"/>
    <w:next w:val="733"/>
    <w:uiPriority w:val="39"/>
    <w:unhideWhenUsed/>
    <w:pPr>
      <w:ind w:left="2268"/>
      <w:spacing w:after="57"/>
    </w:pPr>
  </w:style>
  <w:style w:type="paragraph" w:styleId="911">
    <w:name w:val="TOC Heading"/>
    <w:uiPriority w:val="39"/>
    <w:unhideWhenUsed/>
  </w:style>
  <w:style w:type="paragraph" w:styleId="912">
    <w:name w:val="table of figures"/>
    <w:basedOn w:val="733"/>
    <w:next w:val="733"/>
    <w:uiPriority w:val="99"/>
    <w:unhideWhenUsed/>
  </w:style>
  <w:style w:type="character" w:styleId="913">
    <w:name w:val="page number"/>
    <w:basedOn w:val="743"/>
    <w:qFormat/>
  </w:style>
  <w:style w:type="paragraph" w:styleId="914">
    <w:name w:val="Header"/>
    <w:basedOn w:val="733"/>
    <w:link w:val="765"/>
    <w:pPr>
      <w:tabs>
        <w:tab w:val="center" w:pos="4153" w:leader="none"/>
        <w:tab w:val="right" w:pos="8306" w:leader="none"/>
      </w:tabs>
    </w:pPr>
  </w:style>
  <w:style w:type="paragraph" w:styleId="915">
    <w:name w:val="Body Text"/>
    <w:basedOn w:val="733"/>
    <w:qFormat/>
    <w:pPr>
      <w:spacing w:after="120"/>
      <w:widowControl w:val="off"/>
    </w:pPr>
    <w:rPr>
      <w:rFonts w:ascii="Arial" w:hAnsi="Arial"/>
      <w:szCs w:val="20"/>
    </w:rPr>
  </w:style>
  <w:style w:type="paragraph" w:styleId="916">
    <w:name w:val="Footer"/>
    <w:basedOn w:val="733"/>
    <w:link w:val="768"/>
    <w:uiPriority w:val="99"/>
    <w:qFormat/>
    <w:pPr>
      <w:tabs>
        <w:tab w:val="center" w:pos="4677" w:leader="none"/>
        <w:tab w:val="right" w:pos="9355" w:leader="none"/>
      </w:tabs>
    </w:pPr>
  </w:style>
  <w:style w:type="paragraph" w:styleId="917" w:customStyle="1">
    <w:name w:val="ConsPlusNonformat"/>
    <w:qFormat/>
    <w:pPr>
      <w:widowControl w:val="off"/>
    </w:pPr>
    <w:rPr>
      <w:rFonts w:ascii="Courier New" w:hAnsi="Courier New" w:cs="Courier New" w:eastAsia="Times New Roman"/>
    </w:rPr>
  </w:style>
  <w:style w:type="paragraph" w:styleId="918" w:customStyle="1">
    <w:name w:val="ConsPlusNormal"/>
    <w:qFormat/>
    <w:rPr>
      <w:rFonts w:eastAsia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hyperlink" Target="https://ru.wikipedia.org/wiki/%D0%AF%D0%BD%D0%B4%D0%B5%D0%BA%D1%81.%D0%9C%D0%B0%D1%80%D0%BA%D0%B5%D1%82" TargetMode="External"/><Relationship Id="rId13" Type="http://schemas.openxmlformats.org/officeDocument/2006/relationships/hyperlink" Target="https://ru.wikipedia.org/wiki/Wildberries" TargetMode="External"/><Relationship Id="rId14" Type="http://schemas.openxmlformats.org/officeDocument/2006/relationships/hyperlink" Target="https://ru.wikipedia.org/wiki/Ozon" TargetMode="External"/><Relationship Id="rId15" Type="http://schemas.openxmlformats.org/officeDocument/2006/relationships/hyperlink" Target="https://ru.wikipedia.org/wiki/%D0%A1%D0%B1%D0%B5%D1%80%D0%9C%D0%B5%D0%B3%D0%B0%D0%9C%D0%B0%D1%80%D0%BA%D0%B5%D1%82" TargetMode="External"/><Relationship Id="rId16" Type="http://schemas.openxmlformats.org/officeDocument/2006/relationships/hyperlink" Target="mailto:sales@kommunarka.by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sheleg-a</dc:creator>
  <cp:lastModifiedBy>Дарья Орлова-Литвинова</cp:lastModifiedBy>
  <cp:revision>3</cp:revision>
  <dcterms:created xsi:type="dcterms:W3CDTF">2023-03-09T07:17:00Z</dcterms:created>
  <dcterms:modified xsi:type="dcterms:W3CDTF">2023-07-25T11:04:43Z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FBA01A7B83D94481B457560018516C2D</vt:lpwstr>
  </property>
</Properties>
</file>